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FF" w:rsidRDefault="00E20CFF" w:rsidP="00E20CFF">
      <w:pPr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Lublin, 1 stycznia 2014 roku</w:t>
      </w:r>
    </w:p>
    <w:p w:rsidR="00E20CFF" w:rsidRDefault="00E20CFF" w:rsidP="00E20CFF">
      <w:pPr>
        <w:jc w:val="center"/>
        <w:rPr>
          <w:rFonts w:cs="Times New Roman"/>
        </w:rPr>
      </w:pPr>
    </w:p>
    <w:p w:rsidR="00E20CFF" w:rsidRDefault="00E20CFF" w:rsidP="00E20CFF">
      <w:pPr>
        <w:jc w:val="center"/>
        <w:rPr>
          <w:rFonts w:cs="Times New Roman"/>
        </w:rPr>
      </w:pPr>
      <w:r>
        <w:rPr>
          <w:rFonts w:cs="Times New Roman"/>
        </w:rPr>
        <w:t>Szanowni Państwo,</w:t>
      </w:r>
    </w:p>
    <w:p w:rsidR="00E20CFF" w:rsidRDefault="00E20CFF" w:rsidP="00E20CFF">
      <w:pPr>
        <w:jc w:val="center"/>
        <w:rPr>
          <w:rFonts w:ascii="Georgia" w:hAnsi="Georgia"/>
        </w:rPr>
      </w:pPr>
    </w:p>
    <w:p w:rsidR="00E20CFF" w:rsidRDefault="00E20CFF" w:rsidP="00E20CFF">
      <w:pPr>
        <w:jc w:val="center"/>
        <w:rPr>
          <w:rFonts w:cs="Times New Roman"/>
        </w:rPr>
      </w:pPr>
      <w:r>
        <w:rPr>
          <w:rFonts w:cs="Times New Roman"/>
        </w:rPr>
        <w:t xml:space="preserve">serdecznie zapraszamy do udziału w konferencji naukowej </w:t>
      </w:r>
    </w:p>
    <w:p w:rsidR="00E20CFF" w:rsidRDefault="00E20CFF" w:rsidP="00E20CFF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Działania na tekście</w:t>
      </w:r>
      <w:r>
        <w:rPr>
          <w:rFonts w:cs="Times New Roman"/>
          <w:i/>
          <w:sz w:val="32"/>
          <w:szCs w:val="32"/>
        </w:rPr>
        <w:t>,</w:t>
      </w:r>
    </w:p>
    <w:p w:rsidR="00E20CFF" w:rsidRDefault="00E20CFF" w:rsidP="00E20CFF">
      <w:pPr>
        <w:jc w:val="center"/>
        <w:rPr>
          <w:rFonts w:cs="Times New Roman"/>
          <w:b/>
        </w:rPr>
      </w:pPr>
      <w:r>
        <w:rPr>
          <w:rFonts w:cs="Times New Roman"/>
        </w:rPr>
        <w:t xml:space="preserve"> organizowanej w Lublinie w dniach </w:t>
      </w:r>
      <w:r>
        <w:rPr>
          <w:rFonts w:cs="Times New Roman"/>
          <w:b/>
        </w:rPr>
        <w:t>2-5 września 2014 roku</w:t>
      </w:r>
    </w:p>
    <w:p w:rsidR="00E20CFF" w:rsidRDefault="00E20CFF" w:rsidP="00E20CFF">
      <w:pPr>
        <w:jc w:val="center"/>
        <w:rPr>
          <w:rFonts w:cs="Times New Roman"/>
        </w:rPr>
      </w:pPr>
    </w:p>
    <w:p w:rsidR="00E20CFF" w:rsidRDefault="00E20CFF" w:rsidP="00E20CFF">
      <w:pPr>
        <w:jc w:val="center"/>
        <w:rPr>
          <w:rFonts w:cs="Times New Roman"/>
        </w:rPr>
      </w:pPr>
      <w:r>
        <w:rPr>
          <w:rFonts w:cs="Times New Roman"/>
        </w:rPr>
        <w:t xml:space="preserve">przez </w:t>
      </w:r>
    </w:p>
    <w:p w:rsidR="00E20CFF" w:rsidRDefault="00E20CFF" w:rsidP="00E20CFF">
      <w:pPr>
        <w:jc w:val="center"/>
        <w:rPr>
          <w:rFonts w:cs="Times New Roman"/>
        </w:rPr>
      </w:pPr>
      <w:r>
        <w:rPr>
          <w:rFonts w:cs="Times New Roman"/>
        </w:rPr>
        <w:t xml:space="preserve"> Zakład Tekstologii i Gramatyki Współczesnego Języka Polskiego IFP UMCS</w:t>
      </w:r>
    </w:p>
    <w:p w:rsidR="00E20CFF" w:rsidRDefault="00E20CFF" w:rsidP="00E20CFF">
      <w:pPr>
        <w:jc w:val="center"/>
      </w:pPr>
      <w:r>
        <w:rPr>
          <w:rFonts w:cs="Times New Roman"/>
        </w:rPr>
        <w:t xml:space="preserve">i Zakład Współczesnego Języka Polskiego IFP </w:t>
      </w:r>
      <w:proofErr w:type="spellStart"/>
      <w:r w:rsidR="00AA464E">
        <w:rPr>
          <w:rFonts w:cs="Times New Roman"/>
        </w:rPr>
        <w:t>UWr</w:t>
      </w:r>
      <w:proofErr w:type="spellEnd"/>
    </w:p>
    <w:p w:rsidR="00E20CFF" w:rsidRDefault="00E20CFF" w:rsidP="00E20CFF">
      <w:pPr>
        <w:ind w:right="-567" w:firstLine="709"/>
        <w:jc w:val="both"/>
      </w:pPr>
    </w:p>
    <w:p w:rsidR="00E20CFF" w:rsidRDefault="00E20CFF" w:rsidP="00E20CFF">
      <w:pPr>
        <w:ind w:right="-567" w:firstLine="709"/>
        <w:jc w:val="both"/>
      </w:pPr>
      <w:r>
        <w:t>Edukacja polonistyczna zarówno na poziomie szkolnym, jak uniwersyteckim jest „</w:t>
      </w:r>
      <w:proofErr w:type="spellStart"/>
      <w:r>
        <w:t>tekstocentryczna</w:t>
      </w:r>
      <w:proofErr w:type="spellEnd"/>
      <w:r>
        <w:t xml:space="preserve">”, jednak wiedza naukowa o tekstach jako jednostkach komunikacji językowej, ich strukturze, semantyce, a zwłaszcza pragmatyce, wciąż jest niewystarczająca w stosunku do wyzwań i potrzeb praktycznych. Dotyczy to głównie różnego typu działań na tekstach, które w edukacji szkolnej (zwłaszcza po przyjęciu w roku 2008 nowej podstawy programowej dla przedmiotu </w:t>
      </w:r>
      <w:r>
        <w:rPr>
          <w:i/>
        </w:rPr>
        <w:t>język polski</w:t>
      </w:r>
      <w:r>
        <w:t xml:space="preserve">) stanowią podstawę wymagań egzaminacyjnych na maturze.  </w:t>
      </w:r>
    </w:p>
    <w:p w:rsidR="00E20CFF" w:rsidRDefault="00E20CFF" w:rsidP="00E20CFF">
      <w:pPr>
        <w:ind w:right="-567" w:firstLine="709"/>
        <w:jc w:val="both"/>
        <w:rPr>
          <w:strike/>
        </w:rPr>
      </w:pPr>
      <w:r>
        <w:t xml:space="preserve">Działania na tekstach są operacjami, które składają się na kompetencję komunikacyjną użytkowników języka i obejmują zarówno teksty werbalne – mówione i pisane; potoczne, artystyczne, urzędowe i naukowe; teksty literackie, teksty folkloru, prawnicze, sądownicze, historyczne, biblijne, jak też teksty medialne, szeroko pojęte teksty kultury czy teksty elektroniczne. Działania, choć pomijane w naukowych definicjach tekstu, zajmują ważne miejsce w potocznym myśleniu o tekście - mówi się o: </w:t>
      </w:r>
      <w:r>
        <w:rPr>
          <w:i/>
        </w:rPr>
        <w:t>analizowaniu</w:t>
      </w:r>
      <w:r>
        <w:t xml:space="preserve">, </w:t>
      </w:r>
      <w:r>
        <w:rPr>
          <w:i/>
        </w:rPr>
        <w:t xml:space="preserve">streszczaniu tekstu, konspektowaniu, komentowaniu, objaśnianiu, interpretacji, indeksowaniu, parafrazie, robieniu planu, „nicowaniu”, robieniu wyciągu tekstu, porównywaniu, konfrontowaniu, przekładzie, poprawianiu, powtarzaniu, edycji, publikacji, </w:t>
      </w:r>
      <w:r>
        <w:t xml:space="preserve">rozpowszechnianiu tekstów poprzez </w:t>
      </w:r>
      <w:r>
        <w:rPr>
          <w:i/>
        </w:rPr>
        <w:t xml:space="preserve">druk, </w:t>
      </w:r>
      <w:r w:rsidRPr="00E20CFF">
        <w:rPr>
          <w:i/>
        </w:rPr>
        <w:t>wydawaniu</w:t>
      </w:r>
      <w:r>
        <w:t xml:space="preserve">. Różne etapy pracy nad tekstem mają w polszczyźnie swoje nazwy: </w:t>
      </w:r>
      <w:r>
        <w:rPr>
          <w:i/>
        </w:rPr>
        <w:t>redakcja, adiustacja, korekta, skład, łamanie, kopiowanie.</w:t>
      </w:r>
    </w:p>
    <w:p w:rsidR="00E20CFF" w:rsidRDefault="00E20CFF" w:rsidP="00E20CFF">
      <w:pPr>
        <w:pStyle w:val="Akapitzlist"/>
        <w:spacing w:after="0" w:line="240" w:lineRule="auto"/>
        <w:ind w:left="0" w:righ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Założeniem organizatorów konferencji jest skupienie uwagi na tekstach jako rzeczywistych narzędziach komunikacji, co wymaga podejścia integralnego, łączącego wiedzę literacką i kulturową z wiedzą i umiejętnościami językowymi i komunikacyjnymi.  </w:t>
      </w:r>
    </w:p>
    <w:p w:rsidR="00E20CFF" w:rsidRDefault="00E20CFF" w:rsidP="00E20CFF">
      <w:pPr>
        <w:pStyle w:val="Lista2"/>
        <w:ind w:left="0" w:right="-567" w:firstLine="567"/>
        <w:jc w:val="both"/>
        <w:rPr>
          <w:rFonts w:cs="Times New Roman"/>
        </w:rPr>
      </w:pPr>
      <w:r>
        <w:rPr>
          <w:rFonts w:cs="Times New Roman"/>
        </w:rPr>
        <w:t xml:space="preserve">W ramach konferencji będą mieli okazję spotkać się przedstawiciele różnych dyscyplin naukowych: językoznawcy, literaturoznawcy (ogólnie: filolodzy), folkloryści, </w:t>
      </w:r>
      <w:proofErr w:type="spellStart"/>
      <w:r>
        <w:rPr>
          <w:rFonts w:cs="Times New Roman"/>
        </w:rPr>
        <w:t>medioznawcy</w:t>
      </w:r>
      <w:proofErr w:type="spellEnd"/>
      <w:r>
        <w:rPr>
          <w:rFonts w:cs="Times New Roman"/>
        </w:rPr>
        <w:t xml:space="preserve">, antropolodzy i kulturoznawcy, dydaktycy i metodycy, a także wszyscy zainteresowani problemami tekstu i różnymi możliwościami działań na nim. </w:t>
      </w:r>
    </w:p>
    <w:p w:rsidR="00E20CFF" w:rsidRDefault="00E20CFF" w:rsidP="00E20CFF">
      <w:pPr>
        <w:rPr>
          <w:rFonts w:cs="Times New Roman"/>
        </w:rPr>
      </w:pPr>
    </w:p>
    <w:p w:rsidR="00E20CFF" w:rsidRDefault="00E20CFF" w:rsidP="00E20CFF">
      <w:pPr>
        <w:rPr>
          <w:rFonts w:cs="Times New Roman"/>
        </w:rPr>
      </w:pPr>
      <w:r>
        <w:rPr>
          <w:rFonts w:cs="Times New Roman"/>
        </w:rPr>
        <w:t xml:space="preserve">Do dyskusji proponujemy następujące problemy: 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>działania na tekście w świetle różnych teorii tekstu;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>teoria i praktyka streszczania  tekstów i typologia streszczeń;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 xml:space="preserve">plan tekstu,  „nicowanie” tekstu a spis treści; 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>sposoby indeksowania i rola słów kluczowych;</w:t>
      </w:r>
    </w:p>
    <w:p w:rsidR="00E20CFF" w:rsidRDefault="00E20CFF" w:rsidP="00E20CF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transformacje na poziomie składniowym i tekstowym, dostosowujące wypowiedź do konwencji stylowo-gatunkowych  i intencji przekazu;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>konspektowanie i jego cele;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 xml:space="preserve">czym jest bryk i problem jego wartości; 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>sposoby komentowania i objaśniania w teorii i praktyce;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>analiza i interpretacja tekstu;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 xml:space="preserve">parafraza, jej zakres i funkcje;   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t>etapy prac edytorskich nad tekstem (redakcja, adiustacja, korekta, skład, łamanie itp.);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rPr>
          <w:rFonts w:cs="Times New Roman"/>
        </w:rPr>
        <w:t>działania na tekście na różnych etapach kształcenia polonistycznego: w szkole podstawowej, gimnazjum, liceum, na studiach;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rPr>
          <w:rFonts w:cs="Times New Roman"/>
        </w:rPr>
        <w:lastRenderedPageBreak/>
        <w:t>problemy przekładu tekstów literackich, naukowych, urzędowych i użytkowych;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rPr>
          <w:rFonts w:cs="Times New Roman"/>
        </w:rPr>
        <w:t>przekład słowa mówionego na pisane / elektroniczne i odwrotnie;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rPr>
          <w:rFonts w:cs="Times New Roman"/>
        </w:rPr>
        <w:t>wizualny i przestrzenny wymiar tekstu;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rPr>
          <w:rFonts w:cs="Times New Roman"/>
        </w:rPr>
        <w:t>łączenie i (nie)współgranie tekstu z obrazem;</w:t>
      </w:r>
    </w:p>
    <w:p w:rsidR="00E20CFF" w:rsidRDefault="00E20CFF" w:rsidP="00E20CFF">
      <w:pPr>
        <w:numPr>
          <w:ilvl w:val="0"/>
          <w:numId w:val="1"/>
        </w:numPr>
        <w:ind w:right="-567"/>
        <w:jc w:val="both"/>
      </w:pPr>
      <w:r>
        <w:rPr>
          <w:rFonts w:cs="Times New Roman"/>
        </w:rPr>
        <w:t>automatyczne (komputerowe) działania na tekście (np. streszczanie, wyciąganie słów kluczowych, przekład itp.).</w:t>
      </w:r>
    </w:p>
    <w:p w:rsidR="00E20CFF" w:rsidRDefault="00E20CFF" w:rsidP="00E20CFF">
      <w:pPr>
        <w:ind w:right="-567" w:firstLine="709"/>
        <w:jc w:val="both"/>
        <w:rPr>
          <w:rFonts w:cs="Times New Roman"/>
        </w:rPr>
      </w:pPr>
    </w:p>
    <w:p w:rsidR="00E20CFF" w:rsidRDefault="00E20CFF" w:rsidP="00E20CFF">
      <w:pPr>
        <w:ind w:right="-567" w:firstLine="709"/>
        <w:jc w:val="both"/>
        <w:rPr>
          <w:rFonts w:cs="Times New Roman"/>
        </w:rPr>
      </w:pPr>
      <w:r>
        <w:rPr>
          <w:rFonts w:cs="Times New Roman"/>
        </w:rPr>
        <w:t xml:space="preserve">Wystąpienia mogą obejmować analizy materiałowe, zależy nam jednak na podejmowaniu ich w kontekście teorii tekstu i metod pracy z / nad tekstem - z odniesieniem do praktyki edukacyjnej i edytorskiej. </w:t>
      </w:r>
    </w:p>
    <w:p w:rsidR="00E20CFF" w:rsidRDefault="00E20CFF" w:rsidP="00E20CFF">
      <w:pPr>
        <w:ind w:right="-567" w:firstLine="709"/>
        <w:jc w:val="both"/>
        <w:rPr>
          <w:rFonts w:cs="Times New Roman"/>
        </w:rPr>
      </w:pPr>
    </w:p>
    <w:p w:rsidR="00E20CFF" w:rsidRDefault="00E20CFF" w:rsidP="00E20CFF">
      <w:pPr>
        <w:ind w:right="-567" w:firstLine="709"/>
        <w:jc w:val="both"/>
        <w:rPr>
          <w:rFonts w:cs="Times New Roman"/>
        </w:rPr>
      </w:pPr>
      <w:r>
        <w:rPr>
          <w:rFonts w:cs="Times New Roman"/>
        </w:rPr>
        <w:t xml:space="preserve">Organizatorzy zastrzegają sobie prawo wyboru referatów, kierując się ramą tematyczną spotkania. </w:t>
      </w:r>
    </w:p>
    <w:p w:rsidR="00E20CFF" w:rsidRDefault="00E20CFF" w:rsidP="00E20CFF">
      <w:pPr>
        <w:ind w:right="-567"/>
        <w:rPr>
          <w:rFonts w:cs="Times New Roman"/>
        </w:rPr>
      </w:pPr>
    </w:p>
    <w:p w:rsidR="00E20CFF" w:rsidRDefault="00E20CFF" w:rsidP="00E20CFF">
      <w:pPr>
        <w:ind w:right="-567" w:firstLine="709"/>
        <w:jc w:val="both"/>
        <w:rPr>
          <w:rFonts w:cs="Times New Roman"/>
        </w:rPr>
      </w:pPr>
      <w:r>
        <w:rPr>
          <w:rFonts w:cs="Times New Roman"/>
        </w:rPr>
        <w:t xml:space="preserve">Przewidujemy opłatę konferencyjną </w:t>
      </w:r>
      <w:r>
        <w:rPr>
          <w:rFonts w:cs="Times New Roman"/>
          <w:b/>
        </w:rPr>
        <w:t>w wysokości 300 zł</w:t>
      </w:r>
      <w:r>
        <w:rPr>
          <w:rFonts w:cs="Times New Roman"/>
        </w:rPr>
        <w:t xml:space="preserve"> (szczegóły dotyczące numeru konta i ostatecznej wysokości opłaty zostaną przesłane w terminie późniejszym; opłata obejmuje koszty materiałów konferencyjnych i publikacji).</w:t>
      </w:r>
    </w:p>
    <w:p w:rsidR="00E20CFF" w:rsidRDefault="00E20CFF" w:rsidP="00E20CFF">
      <w:pPr>
        <w:ind w:right="-567"/>
        <w:jc w:val="both"/>
        <w:rPr>
          <w:rFonts w:cs="Times New Roman"/>
        </w:rPr>
      </w:pPr>
      <w:r>
        <w:rPr>
          <w:rFonts w:cs="Times New Roman"/>
        </w:rPr>
        <w:t xml:space="preserve">Formularz zgłoszeniowy w załączeniu, wraz z tezami wystąpień, należy przesłać w terminie do </w:t>
      </w:r>
      <w:r>
        <w:rPr>
          <w:rFonts w:cs="Times New Roman"/>
          <w:b/>
        </w:rPr>
        <w:t>15 III 2014</w:t>
      </w:r>
      <w:r>
        <w:rPr>
          <w:rFonts w:cs="Times New Roman"/>
        </w:rPr>
        <w:t xml:space="preserve"> roku na adres: </w:t>
      </w:r>
      <w:hyperlink r:id="rId5" w:history="1">
        <w:r>
          <w:rPr>
            <w:rStyle w:val="Hipercze"/>
            <w:rFonts w:cs="Times New Roman"/>
          </w:rPr>
          <w:t>mnowosad@op.pl</w:t>
        </w:r>
      </w:hyperlink>
    </w:p>
    <w:p w:rsidR="00E20CFF" w:rsidRDefault="00E20CFF" w:rsidP="00E20CFF">
      <w:pPr>
        <w:ind w:right="-567"/>
        <w:jc w:val="both"/>
        <w:rPr>
          <w:rFonts w:cs="Times New Roman"/>
        </w:rPr>
      </w:pPr>
    </w:p>
    <w:p w:rsidR="00E20CFF" w:rsidRDefault="00E20CFF" w:rsidP="00E20CFF">
      <w:pPr>
        <w:rPr>
          <w:rFonts w:cs="Times New Roman"/>
          <w:b/>
        </w:rPr>
      </w:pPr>
    </w:p>
    <w:p w:rsidR="00E20CFF" w:rsidRDefault="00E20CFF" w:rsidP="00E20CFF">
      <w:pPr>
        <w:ind w:left="709" w:firstLine="709"/>
        <w:rPr>
          <w:rFonts w:cs="Times New Roman"/>
          <w:b/>
          <w:i/>
        </w:rPr>
      </w:pPr>
      <w:r>
        <w:rPr>
          <w:rFonts w:cs="Times New Roman"/>
          <w:b/>
          <w:i/>
        </w:rPr>
        <w:t>Komitet Organizacyjny:</w:t>
      </w:r>
    </w:p>
    <w:p w:rsidR="00E20CFF" w:rsidRDefault="00E20CFF" w:rsidP="00E20CFF">
      <w:pPr>
        <w:ind w:left="709" w:right="-567" w:firstLine="709"/>
        <w:rPr>
          <w:rFonts w:cs="Times New Roman"/>
        </w:rPr>
      </w:pPr>
      <w:r>
        <w:rPr>
          <w:rFonts w:cs="Times New Roman"/>
        </w:rPr>
        <w:t xml:space="preserve">dr hab. Stanisława </w:t>
      </w:r>
      <w:proofErr w:type="spellStart"/>
      <w:r>
        <w:rPr>
          <w:rFonts w:cs="Times New Roman"/>
        </w:rPr>
        <w:t>Niebrzegowska</w:t>
      </w:r>
      <w:proofErr w:type="spellEnd"/>
      <w:r>
        <w:rPr>
          <w:rFonts w:cs="Times New Roman"/>
        </w:rPr>
        <w:t>-Bartmińska, prof. UMCS  (IFP UMCS)</w:t>
      </w:r>
    </w:p>
    <w:p w:rsidR="00E20CFF" w:rsidRDefault="00E20CFF" w:rsidP="00E20CFF">
      <w:pPr>
        <w:ind w:left="709" w:right="-567" w:firstLine="709"/>
        <w:rPr>
          <w:rFonts w:cs="Times New Roman"/>
        </w:rPr>
      </w:pPr>
      <w:r>
        <w:rPr>
          <w:rFonts w:cs="Times New Roman"/>
        </w:rPr>
        <w:t>dr Marta Nowosad-Bakalarczyk  (IFP UMCS)</w:t>
      </w:r>
    </w:p>
    <w:p w:rsidR="00E20CFF" w:rsidRDefault="00E20CFF" w:rsidP="00E20CFF">
      <w:pPr>
        <w:ind w:left="709" w:right="-567" w:firstLine="709"/>
        <w:rPr>
          <w:rFonts w:cs="Times New Roman"/>
        </w:rPr>
      </w:pPr>
      <w:r>
        <w:rPr>
          <w:rFonts w:cs="Times New Roman"/>
        </w:rPr>
        <w:t xml:space="preserve">dr Tomasz Piekot (IFP </w:t>
      </w:r>
      <w:proofErr w:type="spellStart"/>
      <w:r>
        <w:rPr>
          <w:rFonts w:cs="Times New Roman"/>
        </w:rPr>
        <w:t>UWr</w:t>
      </w:r>
      <w:proofErr w:type="spellEnd"/>
      <w:r>
        <w:rPr>
          <w:rFonts w:cs="Times New Roman"/>
        </w:rPr>
        <w:t>)</w:t>
      </w:r>
    </w:p>
    <w:p w:rsidR="00E20CFF" w:rsidRDefault="00E20CFF" w:rsidP="00E20CFF">
      <w:pPr>
        <w:ind w:left="2836"/>
        <w:rPr>
          <w:rFonts w:cs="Times New Roman"/>
        </w:rPr>
      </w:pPr>
    </w:p>
    <w:p w:rsidR="00E20CFF" w:rsidRDefault="00E20CFF" w:rsidP="00E20CFF">
      <w:pPr>
        <w:ind w:left="1418" w:firstLine="1418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Komitet </w:t>
      </w:r>
      <w:proofErr w:type="spellStart"/>
      <w:r>
        <w:rPr>
          <w:rFonts w:cs="Times New Roman"/>
          <w:b/>
          <w:i/>
        </w:rPr>
        <w:t>Honorowyy</w:t>
      </w:r>
      <w:proofErr w:type="spellEnd"/>
      <w:r>
        <w:rPr>
          <w:rFonts w:cs="Times New Roman"/>
          <w:b/>
          <w:i/>
        </w:rPr>
        <w:t>:</w:t>
      </w:r>
    </w:p>
    <w:p w:rsidR="00E20CFF" w:rsidRDefault="00E20CFF" w:rsidP="00E20CFF">
      <w:pPr>
        <w:ind w:left="1418" w:right="-567" w:firstLine="1418"/>
        <w:rPr>
          <w:rFonts w:cs="Times New Roman"/>
        </w:rPr>
      </w:pPr>
      <w:r>
        <w:rPr>
          <w:rFonts w:cs="Times New Roman"/>
        </w:rPr>
        <w:t>prof. dr hab. Jerzy Bartmiński (IFP UMCS /IS PAN)</w:t>
      </w:r>
    </w:p>
    <w:p w:rsidR="00E20CFF" w:rsidRDefault="00E20CFF" w:rsidP="00E20CFF">
      <w:pPr>
        <w:ind w:left="1418" w:right="-567" w:firstLine="1418"/>
        <w:rPr>
          <w:rFonts w:cs="Times New Roman"/>
        </w:rPr>
      </w:pPr>
      <w:r>
        <w:rPr>
          <w:rFonts w:cs="Times New Roman"/>
        </w:rPr>
        <w:t>prof. Teresa Dobrzyńska (IBL PAN)</w:t>
      </w:r>
    </w:p>
    <w:p w:rsidR="00E20CFF" w:rsidRDefault="00E20CFF" w:rsidP="00E20CFF">
      <w:pPr>
        <w:ind w:left="1418" w:right="-567" w:firstLine="1418"/>
        <w:rPr>
          <w:rFonts w:cs="Times New Roman"/>
        </w:rPr>
      </w:pPr>
      <w:r>
        <w:rPr>
          <w:rFonts w:cs="Times New Roman"/>
        </w:rPr>
        <w:t>prof. Stanisław Gajda (UO)</w:t>
      </w:r>
    </w:p>
    <w:p w:rsidR="00E20CFF" w:rsidRDefault="00E20CFF" w:rsidP="00E20CFF">
      <w:pPr>
        <w:ind w:left="1418" w:right="-567" w:firstLine="1418"/>
        <w:rPr>
          <w:rFonts w:cs="Times New Roman"/>
        </w:rPr>
      </w:pPr>
      <w:r>
        <w:rPr>
          <w:rFonts w:cs="Times New Roman"/>
        </w:rPr>
        <w:t>prof. Ryszard Nycz (UJ)</w:t>
      </w:r>
    </w:p>
    <w:p w:rsidR="00E20CFF" w:rsidRDefault="00E20CFF" w:rsidP="00E20CFF">
      <w:pPr>
        <w:ind w:left="1418" w:right="-567" w:firstLine="1418"/>
        <w:rPr>
          <w:rFonts w:cs="Times New Roman"/>
          <w:color w:val="FF0000"/>
        </w:rPr>
      </w:pPr>
    </w:p>
    <w:p w:rsidR="00E20CFF" w:rsidRDefault="00E20CFF" w:rsidP="00E20CFF">
      <w:pPr>
        <w:ind w:left="709" w:right="-567" w:firstLine="709"/>
        <w:rPr>
          <w:rFonts w:cs="Times New Roman"/>
          <w:color w:val="FF0000"/>
        </w:rPr>
      </w:pPr>
      <w:r>
        <w:rPr>
          <w:rFonts w:cs="Times New Roman"/>
          <w:color w:val="FF0000"/>
        </w:rPr>
        <w:br w:type="page"/>
      </w:r>
    </w:p>
    <w:p w:rsidR="00E20CFF" w:rsidRDefault="00DC3A77" w:rsidP="00E20CFF">
      <w:pPr>
        <w:spacing w:line="276" w:lineRule="auto"/>
        <w:jc w:val="center"/>
        <w:rPr>
          <w:rFonts w:ascii="Georgia" w:hAnsi="Georgia" w:cs="Aharoni"/>
          <w:b/>
          <w:lang w:bidi="he-IL"/>
        </w:rPr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9264" behindDoc="0" locked="0" layoutInCell="1" allowOverlap="1" wp14:anchorId="0C1CBCA9" wp14:editId="457E4C6D">
            <wp:simplePos x="0" y="0"/>
            <wp:positionH relativeFrom="column">
              <wp:posOffset>3462655</wp:posOffset>
            </wp:positionH>
            <wp:positionV relativeFrom="paragraph">
              <wp:posOffset>-3810</wp:posOffset>
            </wp:positionV>
            <wp:extent cx="1647825" cy="645006"/>
            <wp:effectExtent l="0" t="0" r="0" b="3175"/>
            <wp:wrapNone/>
            <wp:docPr id="2" name="Obraz 2" descr="http://www.math.uni.wroc.pl/pics/logo_uwr_wys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.uni.wroc.pl/pics/logo_uwr_wys1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CFF">
        <w:rPr>
          <w:noProof/>
          <w:lang w:eastAsia="pl-PL" w:bidi="ar-SA"/>
        </w:rPr>
        <w:drawing>
          <wp:anchor distT="0" distB="0" distL="114935" distR="114935" simplePos="0" relativeHeight="251658240" behindDoc="1" locked="0" layoutInCell="1" allowOverlap="1" wp14:anchorId="1D6FDEB6" wp14:editId="67BFB612">
            <wp:simplePos x="0" y="0"/>
            <wp:positionH relativeFrom="column">
              <wp:posOffset>727710</wp:posOffset>
            </wp:positionH>
            <wp:positionV relativeFrom="paragraph">
              <wp:posOffset>-160020</wp:posOffset>
            </wp:positionV>
            <wp:extent cx="902970" cy="902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20CFF" w:rsidRDefault="00E20CFF" w:rsidP="00E20CFF">
      <w:pPr>
        <w:spacing w:line="276" w:lineRule="auto"/>
        <w:jc w:val="center"/>
        <w:rPr>
          <w:rFonts w:ascii="Georgia" w:hAnsi="Georgia" w:cs="Aharoni"/>
          <w:b/>
          <w:lang w:bidi="he-IL"/>
        </w:rPr>
      </w:pPr>
    </w:p>
    <w:p w:rsidR="00E20CFF" w:rsidRDefault="00E20CFF" w:rsidP="00E20CFF">
      <w:pPr>
        <w:spacing w:line="276" w:lineRule="auto"/>
        <w:jc w:val="center"/>
        <w:rPr>
          <w:rFonts w:ascii="Georgia" w:hAnsi="Georgia" w:cs="Aharoni"/>
          <w:b/>
          <w:lang w:bidi="he-IL"/>
        </w:rPr>
      </w:pPr>
    </w:p>
    <w:p w:rsidR="00E20CFF" w:rsidRPr="00DC3A77" w:rsidRDefault="00E20CFF" w:rsidP="00E20CFF">
      <w:pPr>
        <w:spacing w:line="276" w:lineRule="auto"/>
        <w:jc w:val="center"/>
        <w:rPr>
          <w:rFonts w:ascii="Georgia" w:hAnsi="Georgia" w:cs="Aharoni"/>
          <w:lang w:bidi="he-I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3A77" w:rsidRPr="00DC3A77" w:rsidTr="00DC3A77">
        <w:tc>
          <w:tcPr>
            <w:tcW w:w="4531" w:type="dxa"/>
          </w:tcPr>
          <w:p w:rsidR="00DC3A77" w:rsidRPr="00DC3A77" w:rsidRDefault="00DC3A77" w:rsidP="00DC3A7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3A77">
              <w:rPr>
                <w:rFonts w:ascii="Georgia" w:hAnsi="Georgia"/>
                <w:sz w:val="20"/>
                <w:szCs w:val="20"/>
              </w:rPr>
              <w:t>INSTYTUT FILOLOGII POLSKIEJ</w:t>
            </w:r>
          </w:p>
          <w:p w:rsidR="00DC3A77" w:rsidRPr="00DC3A77" w:rsidRDefault="00DC3A77" w:rsidP="00DC3A7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3A77">
              <w:rPr>
                <w:rFonts w:ascii="Georgia" w:hAnsi="Georgia"/>
                <w:sz w:val="20"/>
                <w:szCs w:val="20"/>
              </w:rPr>
              <w:t>Wydział Humanistyczny</w:t>
            </w:r>
          </w:p>
          <w:p w:rsidR="00DC3A77" w:rsidRPr="00DC3A77" w:rsidRDefault="00DC3A77" w:rsidP="00DC3A7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3A77">
              <w:rPr>
                <w:rFonts w:ascii="Georgia" w:hAnsi="Georgia"/>
                <w:sz w:val="20"/>
                <w:szCs w:val="20"/>
              </w:rPr>
              <w:t>Uniwersytet Marii Curie-Skłodowskiej</w:t>
            </w:r>
          </w:p>
          <w:p w:rsidR="00DC3A77" w:rsidRPr="00DC3A77" w:rsidRDefault="00DC3A77" w:rsidP="00DC3A77">
            <w:pPr>
              <w:spacing w:line="276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DC3A77">
              <w:rPr>
                <w:rFonts w:ascii="Georgia" w:hAnsi="Georgia"/>
                <w:sz w:val="20"/>
                <w:szCs w:val="20"/>
              </w:rPr>
              <w:t>pl. Marii Curie Skłodowskiej 4a</w:t>
            </w:r>
            <w:r w:rsidRPr="00DC3A77">
              <w:rPr>
                <w:rFonts w:ascii="Georgia" w:hAnsi="Georgia"/>
                <w:sz w:val="20"/>
                <w:szCs w:val="20"/>
              </w:rPr>
              <w:br/>
              <w:t>20-031 Lublin</w:t>
            </w:r>
          </w:p>
          <w:p w:rsidR="00DC3A77" w:rsidRPr="00DC3A77" w:rsidRDefault="00DC3A77" w:rsidP="00E20CFF">
            <w:pPr>
              <w:spacing w:line="276" w:lineRule="auto"/>
              <w:jc w:val="center"/>
              <w:rPr>
                <w:rFonts w:ascii="Georgia" w:hAnsi="Georgia" w:cs="Aharoni"/>
                <w:sz w:val="20"/>
                <w:szCs w:val="20"/>
                <w:lang w:bidi="he-IL"/>
              </w:rPr>
            </w:pPr>
          </w:p>
        </w:tc>
        <w:tc>
          <w:tcPr>
            <w:tcW w:w="4531" w:type="dxa"/>
          </w:tcPr>
          <w:p w:rsidR="00DC3A77" w:rsidRPr="00DC3A77" w:rsidRDefault="00DC3A77" w:rsidP="00E20CFF">
            <w:pPr>
              <w:spacing w:line="276" w:lineRule="auto"/>
              <w:jc w:val="center"/>
              <w:rPr>
                <w:rFonts w:ascii="Georgia" w:hAnsi="Georgia" w:cs="Aharoni"/>
                <w:sz w:val="20"/>
                <w:szCs w:val="20"/>
                <w:lang w:bidi="he-IL"/>
              </w:rPr>
            </w:pPr>
            <w:r w:rsidRPr="00DC3A77">
              <w:rPr>
                <w:rFonts w:ascii="Georgia" w:hAnsi="Georgia" w:cs="Aharoni"/>
                <w:sz w:val="20"/>
                <w:szCs w:val="20"/>
                <w:lang w:bidi="he-IL"/>
              </w:rPr>
              <w:t>INSTYTUT FILOLOGII POLSKIEJ</w:t>
            </w:r>
          </w:p>
          <w:p w:rsidR="00DC3A77" w:rsidRPr="00DC3A77" w:rsidRDefault="00DC3A77" w:rsidP="00E20CFF">
            <w:pPr>
              <w:spacing w:line="276" w:lineRule="auto"/>
              <w:jc w:val="center"/>
              <w:rPr>
                <w:rFonts w:ascii="Georgia" w:hAnsi="Georgia" w:cs="Aharoni"/>
                <w:sz w:val="20"/>
                <w:szCs w:val="20"/>
                <w:lang w:bidi="he-IL"/>
              </w:rPr>
            </w:pPr>
            <w:r w:rsidRPr="00DC3A77">
              <w:rPr>
                <w:rFonts w:ascii="Georgia" w:hAnsi="Georgia" w:cs="Aharoni"/>
                <w:sz w:val="20"/>
                <w:szCs w:val="20"/>
                <w:lang w:bidi="he-IL"/>
              </w:rPr>
              <w:t>Wydział Filologiczny</w:t>
            </w:r>
          </w:p>
          <w:p w:rsidR="00DC3A77" w:rsidRPr="00DC3A77" w:rsidRDefault="00DC3A77" w:rsidP="00E20CFF">
            <w:pPr>
              <w:spacing w:line="276" w:lineRule="auto"/>
              <w:jc w:val="center"/>
              <w:rPr>
                <w:rFonts w:ascii="Georgia" w:hAnsi="Georgia" w:cs="Aharoni"/>
                <w:sz w:val="20"/>
                <w:szCs w:val="20"/>
                <w:lang w:bidi="he-IL"/>
              </w:rPr>
            </w:pPr>
            <w:r w:rsidRPr="00DC3A77">
              <w:rPr>
                <w:rFonts w:ascii="Georgia" w:hAnsi="Georgia" w:cs="Aharoni"/>
                <w:sz w:val="20"/>
                <w:szCs w:val="20"/>
                <w:lang w:bidi="he-IL"/>
              </w:rPr>
              <w:t>Uniwersytet Wrocławski</w:t>
            </w:r>
          </w:p>
          <w:p w:rsidR="00DC3A77" w:rsidRPr="00DC3A77" w:rsidRDefault="00DC3A77" w:rsidP="00E20CFF">
            <w:pPr>
              <w:spacing w:line="276" w:lineRule="auto"/>
              <w:jc w:val="center"/>
              <w:rPr>
                <w:rFonts w:ascii="Georgia" w:hAnsi="Georgia" w:cs="Aharoni"/>
                <w:sz w:val="20"/>
                <w:szCs w:val="20"/>
                <w:lang w:bidi="he-IL"/>
              </w:rPr>
            </w:pPr>
            <w:r w:rsidRPr="00DC3A77">
              <w:rPr>
                <w:rFonts w:ascii="Georgia" w:hAnsi="Georgia" w:cs="Aharoni"/>
                <w:sz w:val="20"/>
                <w:szCs w:val="20"/>
                <w:lang w:bidi="he-IL"/>
              </w:rPr>
              <w:t xml:space="preserve">Plac </w:t>
            </w:r>
            <w:proofErr w:type="spellStart"/>
            <w:r w:rsidRPr="00DC3A77">
              <w:rPr>
                <w:rFonts w:ascii="Georgia" w:hAnsi="Georgia" w:cs="Aharoni"/>
                <w:sz w:val="20"/>
                <w:szCs w:val="20"/>
                <w:lang w:bidi="he-IL"/>
              </w:rPr>
              <w:t>Nankiera</w:t>
            </w:r>
            <w:proofErr w:type="spellEnd"/>
            <w:r w:rsidRPr="00DC3A77">
              <w:rPr>
                <w:rFonts w:ascii="Georgia" w:hAnsi="Georgia" w:cs="Aharoni"/>
                <w:sz w:val="20"/>
                <w:szCs w:val="20"/>
                <w:lang w:bidi="he-IL"/>
              </w:rPr>
              <w:t xml:space="preserve"> 15</w:t>
            </w:r>
          </w:p>
          <w:p w:rsidR="00DC3A77" w:rsidRPr="00DC3A77" w:rsidRDefault="00DC3A77" w:rsidP="00E20CFF">
            <w:pPr>
              <w:spacing w:line="276" w:lineRule="auto"/>
              <w:jc w:val="center"/>
              <w:rPr>
                <w:rFonts w:ascii="Georgia" w:hAnsi="Georgia" w:cs="Aharoni"/>
                <w:sz w:val="20"/>
                <w:szCs w:val="20"/>
                <w:lang w:bidi="he-IL"/>
              </w:rPr>
            </w:pPr>
            <w:r w:rsidRPr="00DC3A77">
              <w:rPr>
                <w:rFonts w:ascii="Georgia" w:hAnsi="Georgia" w:cs="Aharoni"/>
                <w:sz w:val="20"/>
                <w:szCs w:val="20"/>
                <w:lang w:bidi="he-IL"/>
              </w:rPr>
              <w:t>50-140 Wrocław</w:t>
            </w:r>
          </w:p>
        </w:tc>
      </w:tr>
    </w:tbl>
    <w:p w:rsidR="00DC3A77" w:rsidRDefault="00DC3A77" w:rsidP="00DC3A77">
      <w:pPr>
        <w:pBdr>
          <w:bottom w:val="single" w:sz="6" w:space="8" w:color="auto"/>
        </w:pBdr>
        <w:spacing w:line="276" w:lineRule="auto"/>
        <w:rPr>
          <w:rFonts w:ascii="Georgia" w:hAnsi="Georgia"/>
          <w:sz w:val="20"/>
        </w:rPr>
      </w:pPr>
    </w:p>
    <w:p w:rsidR="00E20CFF" w:rsidRDefault="00E20CFF" w:rsidP="00E20CFF">
      <w:pPr>
        <w:spacing w:line="276" w:lineRule="auto"/>
        <w:jc w:val="center"/>
        <w:rPr>
          <w:rFonts w:ascii="Georgia" w:hAnsi="Georgia"/>
          <w:b/>
        </w:rPr>
      </w:pPr>
    </w:p>
    <w:p w:rsidR="00E20CFF" w:rsidRDefault="00E20CFF" w:rsidP="00E20CFF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Konferencja</w:t>
      </w:r>
    </w:p>
    <w:p w:rsidR="00E20CFF" w:rsidRDefault="00E20CFF" w:rsidP="00E20CFF">
      <w:pPr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Działania na tekście</w:t>
      </w:r>
    </w:p>
    <w:p w:rsidR="00E20CFF" w:rsidRDefault="00E20CFF" w:rsidP="00E20CFF">
      <w:pPr>
        <w:spacing w:line="276" w:lineRule="auto"/>
        <w:jc w:val="center"/>
        <w:rPr>
          <w:rFonts w:ascii="Georgia" w:hAnsi="Georgia" w:cs="Aharoni"/>
          <w:lang w:bidi="he-IL"/>
        </w:rPr>
      </w:pPr>
      <w:r>
        <w:rPr>
          <w:rFonts w:ascii="Georgia" w:hAnsi="Georgia"/>
        </w:rPr>
        <w:t>Lublin, 2-5 września 2014 r.</w:t>
      </w:r>
    </w:p>
    <w:p w:rsidR="00E20CFF" w:rsidRDefault="00E20CFF" w:rsidP="00E20CFF">
      <w:pPr>
        <w:spacing w:line="276" w:lineRule="auto"/>
        <w:jc w:val="center"/>
        <w:rPr>
          <w:rFonts w:ascii="Georgia" w:hAnsi="Georgia" w:cs="Aharoni"/>
          <w:lang w:bidi="he-IL"/>
        </w:rPr>
      </w:pPr>
    </w:p>
    <w:p w:rsidR="00DC3A77" w:rsidRDefault="00DC3A77" w:rsidP="00E20CFF">
      <w:pPr>
        <w:spacing w:line="276" w:lineRule="auto"/>
        <w:jc w:val="center"/>
        <w:rPr>
          <w:rFonts w:ascii="Georgia" w:hAnsi="Georgia" w:cs="Aharoni"/>
          <w:lang w:bidi="he-IL"/>
        </w:rPr>
      </w:pPr>
    </w:p>
    <w:p w:rsidR="00E20CFF" w:rsidRDefault="00E20CFF" w:rsidP="00E20CFF">
      <w:pPr>
        <w:spacing w:line="276" w:lineRule="auto"/>
        <w:jc w:val="center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FORMULARZ ZGŁOSZENIOWY</w:t>
      </w:r>
    </w:p>
    <w:p w:rsidR="00DC3A77" w:rsidRDefault="00DC3A77" w:rsidP="00E20CFF">
      <w:pPr>
        <w:spacing w:line="276" w:lineRule="auto"/>
        <w:jc w:val="center"/>
        <w:rPr>
          <w:rFonts w:ascii="Georgia" w:hAnsi="Georgia" w:cs="Aharoni"/>
          <w:lang w:bidi="he-IL"/>
        </w:rPr>
      </w:pPr>
    </w:p>
    <w:p w:rsidR="00DC3A77" w:rsidRDefault="00DC3A77" w:rsidP="00E20CFF">
      <w:pPr>
        <w:spacing w:line="276" w:lineRule="auto"/>
        <w:jc w:val="center"/>
        <w:rPr>
          <w:rFonts w:ascii="Georgia" w:hAnsi="Georgia" w:cs="Aharoni"/>
          <w:b/>
          <w:lang w:bidi="he-IL"/>
        </w:rPr>
      </w:pPr>
    </w:p>
    <w:p w:rsidR="00E20CFF" w:rsidRDefault="00E20CFF" w:rsidP="00E20CFF">
      <w:pPr>
        <w:spacing w:line="276" w:lineRule="auto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1. Dane osobowe</w:t>
      </w:r>
    </w:p>
    <w:p w:rsidR="00E20CFF" w:rsidRDefault="00E20CFF" w:rsidP="00E20CF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lang w:bidi="he-IL"/>
        </w:rPr>
        <w:t>imię i nazwisko, tytuł zawodowy/stopień naukowy</w:t>
      </w:r>
    </w:p>
    <w:p w:rsidR="00E20CFF" w:rsidRDefault="00E20CFF" w:rsidP="00E20CFF">
      <w:pPr>
        <w:tabs>
          <w:tab w:val="num" w:pos="180"/>
        </w:tabs>
        <w:spacing w:line="276" w:lineRule="auto"/>
        <w:ind w:left="360" w:hanging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ab/>
        <w:t xml:space="preserve">   ..............................................................................................................................................................................................................</w:t>
      </w:r>
    </w:p>
    <w:p w:rsidR="00E20CFF" w:rsidRDefault="00E20CFF" w:rsidP="00E20CF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uczelnia: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CFF" w:rsidRDefault="00E20CFF" w:rsidP="00E20CFF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 xml:space="preserve">adres do korespondencji, nr telefonu, e-mail: </w:t>
      </w:r>
    </w:p>
    <w:p w:rsidR="00E20CFF" w:rsidRDefault="00E20CFF" w:rsidP="00E20CFF">
      <w:pPr>
        <w:tabs>
          <w:tab w:val="left" w:pos="340"/>
        </w:tabs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CFF" w:rsidRDefault="00E20CFF" w:rsidP="00E20CFF">
      <w:pPr>
        <w:spacing w:line="276" w:lineRule="auto"/>
        <w:rPr>
          <w:rFonts w:ascii="Georgia" w:hAnsi="Georgia" w:cs="Aharoni"/>
          <w:b/>
          <w:lang w:bidi="he-IL"/>
        </w:rPr>
      </w:pP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b/>
          <w:lang w:bidi="he-IL"/>
        </w:rPr>
        <w:t>2. Dane adresowe do faktury VAT</w:t>
      </w:r>
      <w:r>
        <w:rPr>
          <w:rFonts w:ascii="Georgia" w:hAnsi="Georgia" w:cs="Aharoni"/>
          <w:lang w:bidi="he-IL"/>
        </w:rPr>
        <w:t xml:space="preserve"> (opłata konferencyjna)</w:t>
      </w: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a) nazwa, adres i NIP instytucji delegującej:</w:t>
      </w: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 xml:space="preserve">b) adres, na który mamy przesłać fakturę: </w:t>
      </w: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0CFF" w:rsidRDefault="00E20CFF" w:rsidP="00E20CFF">
      <w:pPr>
        <w:spacing w:line="276" w:lineRule="auto"/>
        <w:rPr>
          <w:rFonts w:ascii="Georgia" w:hAnsi="Georgia" w:cs="Aharoni"/>
          <w:b/>
          <w:lang w:bidi="he-IL"/>
        </w:rPr>
      </w:pPr>
    </w:p>
    <w:p w:rsidR="00DC3A77" w:rsidRDefault="00DC3A77" w:rsidP="00E20CFF">
      <w:pPr>
        <w:spacing w:line="276" w:lineRule="auto"/>
        <w:rPr>
          <w:rFonts w:ascii="Georgia" w:hAnsi="Georgia" w:cs="Aharoni"/>
          <w:b/>
          <w:lang w:bidi="he-IL"/>
        </w:rPr>
      </w:pPr>
    </w:p>
    <w:p w:rsidR="00DC3A77" w:rsidRDefault="00DC3A77" w:rsidP="00E20CFF">
      <w:pPr>
        <w:spacing w:line="276" w:lineRule="auto"/>
        <w:rPr>
          <w:rFonts w:ascii="Georgia" w:hAnsi="Georgia" w:cs="Aharoni"/>
          <w:b/>
          <w:lang w:bidi="he-IL"/>
        </w:rPr>
      </w:pPr>
    </w:p>
    <w:p w:rsidR="00DC3A77" w:rsidRDefault="00DC3A77" w:rsidP="00E20CFF">
      <w:pPr>
        <w:spacing w:line="276" w:lineRule="auto"/>
        <w:rPr>
          <w:rFonts w:ascii="Georgia" w:hAnsi="Georgia" w:cs="Aharoni"/>
          <w:b/>
          <w:lang w:bidi="he-IL"/>
        </w:rPr>
      </w:pPr>
    </w:p>
    <w:p w:rsidR="00DC3A77" w:rsidRDefault="00DC3A77" w:rsidP="00E20CFF">
      <w:pPr>
        <w:spacing w:line="276" w:lineRule="auto"/>
        <w:rPr>
          <w:rFonts w:ascii="Georgia" w:hAnsi="Georgia" w:cs="Aharoni"/>
          <w:b/>
          <w:lang w:bidi="he-IL"/>
        </w:rPr>
      </w:pP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b/>
          <w:lang w:bidi="he-IL"/>
        </w:rPr>
        <w:lastRenderedPageBreak/>
        <w:t xml:space="preserve">3. Wystąpienie </w:t>
      </w:r>
    </w:p>
    <w:p w:rsidR="00E20CFF" w:rsidRDefault="00E20CFF" w:rsidP="00E20CFF">
      <w:pPr>
        <w:numPr>
          <w:ilvl w:val="0"/>
          <w:numId w:val="3"/>
        </w:numPr>
        <w:spacing w:line="276" w:lineRule="auto"/>
        <w:jc w:val="both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tytuł referatu: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A77" w:rsidRDefault="00DC3A77" w:rsidP="00E20CFF">
      <w:pPr>
        <w:spacing w:line="276" w:lineRule="auto"/>
        <w:ind w:left="360"/>
        <w:rPr>
          <w:rFonts w:ascii="Georgia" w:hAnsi="Georgia" w:cs="Aharoni"/>
          <w:lang w:bidi="he-IL"/>
        </w:rPr>
      </w:pPr>
      <w:bookmarkStart w:id="0" w:name="_GoBack"/>
      <w:bookmarkEnd w:id="0"/>
    </w:p>
    <w:p w:rsidR="00E20CFF" w:rsidRDefault="00E20CFF" w:rsidP="00E20CFF">
      <w:pPr>
        <w:numPr>
          <w:ilvl w:val="0"/>
          <w:numId w:val="3"/>
        </w:num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 xml:space="preserve">główne tezy: 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………………………………………………………………………………………………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………………………………………………………………………………………………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………………………………………………………………………………………………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………………………………………………………………………………………………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………………………………………………………………………………………………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………………………………………………………………………………………………</w:t>
      </w: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</w:p>
    <w:p w:rsidR="00E20CFF" w:rsidRDefault="00E20CFF" w:rsidP="00E20CFF">
      <w:pPr>
        <w:spacing w:line="276" w:lineRule="auto"/>
        <w:ind w:left="360"/>
        <w:rPr>
          <w:rFonts w:ascii="Georgia" w:hAnsi="Georgia" w:cs="Aharoni"/>
          <w:b/>
          <w:lang w:bidi="he-IL"/>
        </w:rPr>
      </w:pPr>
    </w:p>
    <w:p w:rsidR="00E20CFF" w:rsidRDefault="00E20CFF" w:rsidP="00E20CFF">
      <w:pPr>
        <w:numPr>
          <w:ilvl w:val="0"/>
          <w:numId w:val="3"/>
        </w:numPr>
        <w:spacing w:line="276" w:lineRule="auto"/>
        <w:jc w:val="both"/>
        <w:rPr>
          <w:rFonts w:ascii="Georgia" w:hAnsi="Georgia" w:cs="Aharoni"/>
          <w:i/>
          <w:lang w:bidi="he-IL"/>
        </w:rPr>
      </w:pPr>
      <w:r>
        <w:rPr>
          <w:rFonts w:ascii="Georgia" w:hAnsi="Georgia" w:cs="Aharoni"/>
          <w:lang w:bidi="he-IL"/>
        </w:rPr>
        <w:t xml:space="preserve">wymagania sprzętowe: </w:t>
      </w:r>
    </w:p>
    <w:p w:rsidR="00E20CFF" w:rsidRDefault="00E20CFF" w:rsidP="00E20CFF">
      <w:pPr>
        <w:spacing w:line="276" w:lineRule="auto"/>
        <w:ind w:left="360"/>
        <w:jc w:val="both"/>
        <w:rPr>
          <w:rFonts w:ascii="Georgia" w:hAnsi="Georgia" w:cs="Aharoni"/>
          <w:i/>
          <w:lang w:bidi="he-IL"/>
        </w:rPr>
      </w:pPr>
      <w:r>
        <w:rPr>
          <w:rFonts w:ascii="Georgia" w:hAnsi="Georgia" w:cs="Aharoni"/>
          <w:lang w:bidi="he-IL"/>
        </w:rPr>
        <w:t>…………………………………………………………………………………………………………….</w:t>
      </w:r>
    </w:p>
    <w:p w:rsidR="00E20CFF" w:rsidRDefault="00E20CFF" w:rsidP="00E20CFF">
      <w:pPr>
        <w:spacing w:line="276" w:lineRule="auto"/>
        <w:rPr>
          <w:rFonts w:ascii="Georgia" w:hAnsi="Georgia" w:cs="Aharoni"/>
          <w:i/>
          <w:lang w:bidi="he-IL"/>
        </w:rPr>
      </w:pPr>
    </w:p>
    <w:p w:rsidR="00E20CFF" w:rsidRDefault="00E20CFF" w:rsidP="00E20CFF">
      <w:pPr>
        <w:spacing w:line="276" w:lineRule="auto"/>
        <w:rPr>
          <w:rFonts w:ascii="Georgia" w:hAnsi="Georgia" w:cs="Aharoni"/>
          <w:b/>
          <w:lang w:bidi="he-IL"/>
        </w:rPr>
      </w:pPr>
      <w:r>
        <w:rPr>
          <w:rFonts w:ascii="Georgia" w:hAnsi="Georgia" w:cs="Aharoni"/>
          <w:b/>
          <w:lang w:bidi="he-IL"/>
        </w:rPr>
        <w:t>4. Zakwaterowanie i wyżywienie</w:t>
      </w:r>
    </w:p>
    <w:p w:rsidR="00E20CFF" w:rsidRDefault="00E20CFF" w:rsidP="00E20CFF">
      <w:pPr>
        <w:spacing w:line="276" w:lineRule="auto"/>
        <w:rPr>
          <w:rFonts w:ascii="Georgia" w:hAnsi="Georgia" w:cs="Aharoni"/>
          <w:lang w:bidi="he-IL"/>
        </w:rPr>
      </w:pPr>
      <w:r>
        <w:rPr>
          <w:rFonts w:ascii="Georgia" w:hAnsi="Georgia" w:cs="Aharoni"/>
          <w:lang w:bidi="he-IL"/>
        </w:rPr>
        <w:t>Opłata konferencyjna nie obejmuje zakwaterowania i wyżywienia. Służymy pomocą w rezerwacji miejsc noclegowych w  hotelach lubelskich.</w:t>
      </w:r>
    </w:p>
    <w:p w:rsidR="00E20CFF" w:rsidRDefault="00E20CFF" w:rsidP="00E20CFF"/>
    <w:p w:rsidR="006D3E74" w:rsidRDefault="006D3E74"/>
    <w:sectPr w:rsidR="006D3E74" w:rsidSect="00DC3A7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06772"/>
    <w:multiLevelType w:val="hybridMultilevel"/>
    <w:tmpl w:val="74F09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A2471"/>
    <w:multiLevelType w:val="hybridMultilevel"/>
    <w:tmpl w:val="AEC8CD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EB45A2"/>
    <w:multiLevelType w:val="hybridMultilevel"/>
    <w:tmpl w:val="C8364E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A5"/>
    <w:rsid w:val="002055A5"/>
    <w:rsid w:val="006D3E74"/>
    <w:rsid w:val="00876320"/>
    <w:rsid w:val="009B0755"/>
    <w:rsid w:val="00AA464E"/>
    <w:rsid w:val="00DC3A77"/>
    <w:rsid w:val="00E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807F-639D-416F-A6A0-6A6A9251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C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20CFF"/>
    <w:rPr>
      <w:color w:val="000080"/>
      <w:u w:val="single"/>
    </w:rPr>
  </w:style>
  <w:style w:type="paragraph" w:styleId="Lista2">
    <w:name w:val="List 2"/>
    <w:basedOn w:val="Normalny"/>
    <w:uiPriority w:val="99"/>
    <w:semiHidden/>
    <w:unhideWhenUsed/>
    <w:rsid w:val="00E20CFF"/>
    <w:pPr>
      <w:ind w:left="566" w:hanging="283"/>
      <w:contextualSpacing/>
    </w:pPr>
    <w:rPr>
      <w:szCs w:val="21"/>
    </w:rPr>
  </w:style>
  <w:style w:type="paragraph" w:styleId="Akapitzlist">
    <w:name w:val="List Paragraph"/>
    <w:basedOn w:val="Normalny"/>
    <w:uiPriority w:val="34"/>
    <w:qFormat/>
    <w:rsid w:val="00E20CFF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DC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nowosad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Piekot</cp:lastModifiedBy>
  <cp:revision>4</cp:revision>
  <dcterms:created xsi:type="dcterms:W3CDTF">2014-01-23T07:46:00Z</dcterms:created>
  <dcterms:modified xsi:type="dcterms:W3CDTF">2014-01-23T09:02:00Z</dcterms:modified>
</cp:coreProperties>
</file>